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0C" w:rsidRDefault="009E076B">
      <w:pPr>
        <w:pStyle w:val="mysent"/>
        <w:jc w:val="center"/>
        <w:rPr>
          <w:rFonts w:ascii="Arial" w:hAnsi="Arial"/>
          <w:b/>
          <w:sz w:val="48"/>
        </w:rPr>
      </w:pPr>
      <w:r>
        <w:rPr>
          <w:rFonts w:ascii="Arial" w:hAnsi="Arial"/>
          <w:b/>
          <w:sz w:val="48"/>
        </w:rPr>
        <w:t xml:space="preserve"> </w:t>
      </w:r>
    </w:p>
    <w:p w:rsidR="005A0C0C" w:rsidRDefault="005A0C0C">
      <w:pPr>
        <w:pStyle w:val="mysent"/>
        <w:jc w:val="center"/>
        <w:rPr>
          <w:rFonts w:ascii="Arial" w:hAnsi="Arial"/>
          <w:b/>
          <w:sz w:val="48"/>
        </w:rPr>
      </w:pPr>
    </w:p>
    <w:p w:rsidR="0041620E" w:rsidRDefault="009E076B">
      <w:pPr>
        <w:pStyle w:val="mysent"/>
        <w:jc w:val="center"/>
        <w:rPr>
          <w:rFonts w:ascii="Arial" w:hAnsi="Arial"/>
          <w:b/>
          <w:sz w:val="48"/>
        </w:rPr>
      </w:pPr>
      <w:r w:rsidRPr="0041620E">
        <w:rPr>
          <w:rFonts w:ascii="Arial" w:hAnsi="Arial"/>
          <w:b/>
          <w:sz w:val="20"/>
        </w:rPr>
        <w:object w:dxaOrig="72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fillcolor="window">
            <v:imagedata r:id="rId8" o:title=""/>
          </v:shape>
          <o:OLEObject Type="Embed" ProgID="MSDraw" ShapeID="_x0000_i1025" DrawAspect="Content" ObjectID="_1529397960" r:id="rId9"/>
        </w:object>
      </w:r>
    </w:p>
    <w:p w:rsidR="0041620E" w:rsidRDefault="009E076B">
      <w:pPr>
        <w:pStyle w:val="Titolo1"/>
      </w:pPr>
      <w:r>
        <w:t>TRIBUNALE DI SAVONA</w:t>
      </w:r>
    </w:p>
    <w:p w:rsidR="0041620E" w:rsidRDefault="0041620E">
      <w:pPr>
        <w:pStyle w:val="Titolo1"/>
      </w:pPr>
    </w:p>
    <w:p w:rsidR="0041620E" w:rsidRDefault="0041620E">
      <w:pPr>
        <w:pStyle w:val="Titolo1"/>
      </w:pPr>
    </w:p>
    <w:p w:rsidR="0041620E" w:rsidRDefault="009E076B">
      <w:pPr>
        <w:pStyle w:val="Titolo1"/>
        <w:rPr>
          <w:sz w:val="32"/>
        </w:rPr>
      </w:pPr>
      <w:r>
        <w:rPr>
          <w:sz w:val="32"/>
        </w:rPr>
        <w:t>CRITERI DI LIQUIDAZIONE DEI COMPENSI AI PROFESSIONISTI DELEGATI EX ART 591 BIS C.P.C.</w:t>
      </w:r>
      <w:r w:rsidR="00AA5380">
        <w:rPr>
          <w:sz w:val="32"/>
        </w:rPr>
        <w:t xml:space="preserve"> PER </w:t>
      </w:r>
      <w:r w:rsidR="00AA5380" w:rsidRPr="005A0C0C">
        <w:rPr>
          <w:b/>
          <w:sz w:val="32"/>
          <w:u w:val="single"/>
        </w:rPr>
        <w:t>I CONTEGGI RELATIVI ALLA CONVERSIONE DEL PIGNORAMENTO</w:t>
      </w:r>
      <w:r w:rsidR="00AA5380">
        <w:rPr>
          <w:sz w:val="32"/>
        </w:rPr>
        <w:t xml:space="preserve"> </w:t>
      </w:r>
    </w:p>
    <w:p w:rsidR="00AA5380" w:rsidRPr="00AA5380" w:rsidRDefault="00AA5380" w:rsidP="00AA5380"/>
    <w:p w:rsidR="00AC1832" w:rsidRDefault="00AC1832">
      <w:pPr>
        <w:pStyle w:val="Rientrocorpodeltesto"/>
        <w:ind w:left="0" w:firstLine="0"/>
        <w:outlineLvl w:val="0"/>
        <w:rPr>
          <w:sz w:val="22"/>
          <w:szCs w:val="22"/>
        </w:rPr>
      </w:pPr>
    </w:p>
    <w:p w:rsidR="0041620E" w:rsidRDefault="009E076B">
      <w:pPr>
        <w:pStyle w:val="Rientrocorpodeltesto"/>
        <w:ind w:left="0" w:firstLine="0"/>
        <w:outlineLvl w:val="0"/>
        <w:rPr>
          <w:sz w:val="22"/>
          <w:szCs w:val="22"/>
        </w:rPr>
      </w:pPr>
      <w:r>
        <w:rPr>
          <w:sz w:val="22"/>
          <w:szCs w:val="22"/>
        </w:rPr>
        <w:t>In sostituzione della circolare 02.03.2007;</w:t>
      </w:r>
    </w:p>
    <w:p w:rsidR="0041620E" w:rsidRDefault="009E076B">
      <w:pPr>
        <w:pStyle w:val="Rientrocorpodeltesto"/>
        <w:ind w:left="0" w:firstLine="0"/>
        <w:outlineLvl w:val="0"/>
        <w:rPr>
          <w:sz w:val="22"/>
          <w:szCs w:val="22"/>
        </w:rPr>
      </w:pPr>
      <w:r>
        <w:rPr>
          <w:sz w:val="22"/>
          <w:szCs w:val="22"/>
        </w:rPr>
        <w:t>vist</w:t>
      </w:r>
      <w:r w:rsidR="008B7B88">
        <w:rPr>
          <w:sz w:val="22"/>
          <w:szCs w:val="22"/>
        </w:rPr>
        <w:t>o</w:t>
      </w:r>
      <w:r>
        <w:rPr>
          <w:sz w:val="22"/>
          <w:szCs w:val="22"/>
        </w:rPr>
        <w:t xml:space="preserve"> </w:t>
      </w:r>
      <w:r w:rsidR="008B7B88">
        <w:rPr>
          <w:sz w:val="22"/>
          <w:szCs w:val="22"/>
        </w:rPr>
        <w:t xml:space="preserve">il D.M.15/10/2015 n. 227 </w:t>
      </w:r>
      <w:r>
        <w:rPr>
          <w:sz w:val="22"/>
          <w:szCs w:val="22"/>
        </w:rPr>
        <w:t>Ministero della Giustizia</w:t>
      </w:r>
      <w:r w:rsidR="008B7B88">
        <w:rPr>
          <w:sz w:val="22"/>
          <w:szCs w:val="22"/>
        </w:rPr>
        <w:t>,</w:t>
      </w:r>
      <w:r>
        <w:rPr>
          <w:sz w:val="22"/>
          <w:szCs w:val="22"/>
        </w:rPr>
        <w:t xml:space="preserve"> </w:t>
      </w:r>
      <w:r w:rsidR="008B7B88">
        <w:rPr>
          <w:sz w:val="22"/>
          <w:szCs w:val="22"/>
        </w:rPr>
        <w:t>pubblicato in G.U. n. 45 del 24/02/2016, che ha rideterminato la liquidazione dei compensi per le operazioni delegate dal Giudice dell’esecuzione ai sensi dell’art. 179 bis delle disposizioni di attuazione del codice di procedura civile;</w:t>
      </w:r>
    </w:p>
    <w:p w:rsidR="0041620E" w:rsidRDefault="00CA4F64" w:rsidP="00CA4F64">
      <w:pPr>
        <w:pStyle w:val="Rientrocorpodeltesto"/>
        <w:ind w:left="0" w:firstLine="0"/>
        <w:outlineLvl w:val="0"/>
        <w:rPr>
          <w:sz w:val="22"/>
          <w:szCs w:val="22"/>
        </w:rPr>
      </w:pPr>
      <w:r w:rsidRPr="00CA4F64">
        <w:rPr>
          <w:sz w:val="22"/>
          <w:szCs w:val="22"/>
          <w:u w:val="single"/>
        </w:rPr>
        <w:t>ad integrazione della CIRCOLARE IN DATA 6 luglio 2016</w:t>
      </w:r>
      <w:r>
        <w:rPr>
          <w:sz w:val="22"/>
          <w:szCs w:val="22"/>
        </w:rPr>
        <w:t xml:space="preserve">  vista la necessità di fissare  criteri uniformi anche per la fase del  </w:t>
      </w:r>
      <w:r w:rsidRPr="00CA4F64">
        <w:rPr>
          <w:sz w:val="22"/>
          <w:szCs w:val="22"/>
          <w:u w:val="single"/>
        </w:rPr>
        <w:t>conteggio per la conversione del pignoramento</w:t>
      </w:r>
      <w:r>
        <w:rPr>
          <w:sz w:val="22"/>
          <w:szCs w:val="22"/>
        </w:rPr>
        <w:t xml:space="preserve"> </w:t>
      </w:r>
    </w:p>
    <w:p w:rsidR="00CA4F64" w:rsidRDefault="00CA4F64">
      <w:pPr>
        <w:jc w:val="center"/>
        <w:rPr>
          <w:sz w:val="22"/>
          <w:szCs w:val="22"/>
        </w:rPr>
      </w:pPr>
    </w:p>
    <w:p w:rsidR="0041620E" w:rsidRDefault="009E076B">
      <w:pPr>
        <w:jc w:val="center"/>
        <w:rPr>
          <w:sz w:val="22"/>
          <w:szCs w:val="22"/>
        </w:rPr>
      </w:pPr>
      <w:r>
        <w:rPr>
          <w:sz w:val="22"/>
          <w:szCs w:val="22"/>
        </w:rPr>
        <w:t>si comunica</w:t>
      </w:r>
    </w:p>
    <w:p w:rsidR="0041620E" w:rsidRDefault="009E076B" w:rsidP="00E959DB">
      <w:pPr>
        <w:jc w:val="both"/>
        <w:rPr>
          <w:sz w:val="22"/>
          <w:szCs w:val="22"/>
        </w:rPr>
      </w:pPr>
      <w:r>
        <w:rPr>
          <w:sz w:val="22"/>
          <w:szCs w:val="22"/>
        </w:rPr>
        <w:t xml:space="preserve">che il compenso ai professionisti delegati nelle procedure esecutive </w:t>
      </w:r>
      <w:r w:rsidR="00CA4F64">
        <w:rPr>
          <w:sz w:val="22"/>
          <w:szCs w:val="22"/>
        </w:rPr>
        <w:t xml:space="preserve"> in cui è stata ammessa conversione del pignoramento,  </w:t>
      </w:r>
      <w:r>
        <w:rPr>
          <w:sz w:val="22"/>
          <w:szCs w:val="22"/>
        </w:rPr>
        <w:t xml:space="preserve">sarà liquidato, </w:t>
      </w:r>
      <w:r w:rsidR="00E959DB" w:rsidRPr="00E959DB">
        <w:rPr>
          <w:sz w:val="22"/>
          <w:szCs w:val="22"/>
        </w:rPr>
        <w:t>per tutte le procedure esecutive in corso alla data odierna, fatte salve le procedure per cui sia già stat</w:t>
      </w:r>
      <w:r w:rsidR="00AC1832">
        <w:rPr>
          <w:sz w:val="22"/>
          <w:szCs w:val="22"/>
        </w:rPr>
        <w:t>a</w:t>
      </w:r>
      <w:r w:rsidR="00E959DB" w:rsidRPr="00E959DB">
        <w:rPr>
          <w:sz w:val="22"/>
          <w:szCs w:val="22"/>
        </w:rPr>
        <w:t xml:space="preserve"> depositata agli atti la b</w:t>
      </w:r>
      <w:r w:rsidR="00E959DB">
        <w:rPr>
          <w:sz w:val="22"/>
          <w:szCs w:val="22"/>
        </w:rPr>
        <w:t xml:space="preserve">ozza del piano di distribuzione, </w:t>
      </w:r>
      <w:r>
        <w:rPr>
          <w:sz w:val="22"/>
          <w:szCs w:val="22"/>
        </w:rPr>
        <w:t>come segue.</w:t>
      </w:r>
    </w:p>
    <w:p w:rsidR="0041620E" w:rsidRDefault="0041620E"/>
    <w:p w:rsidR="0041620E" w:rsidRPr="00E959DB" w:rsidRDefault="009E076B">
      <w:pPr>
        <w:pStyle w:val="Titolo1"/>
        <w:rPr>
          <w:sz w:val="22"/>
          <w:szCs w:val="22"/>
        </w:rPr>
      </w:pPr>
      <w:r w:rsidRPr="00E959DB">
        <w:rPr>
          <w:sz w:val="22"/>
          <w:szCs w:val="22"/>
        </w:rPr>
        <w:t>CRITERI DI LIQUIDAZIONE</w:t>
      </w:r>
    </w:p>
    <w:p w:rsidR="0041620E" w:rsidRPr="00E959DB" w:rsidRDefault="0041620E">
      <w:pPr>
        <w:rPr>
          <w:sz w:val="22"/>
          <w:szCs w:val="22"/>
        </w:rPr>
      </w:pPr>
    </w:p>
    <w:p w:rsidR="00E959DB" w:rsidRDefault="00E959DB" w:rsidP="00E959DB">
      <w:pPr>
        <w:jc w:val="both"/>
        <w:rPr>
          <w:sz w:val="22"/>
          <w:szCs w:val="22"/>
        </w:rPr>
      </w:pPr>
      <w:r w:rsidRPr="00E959DB">
        <w:rPr>
          <w:sz w:val="22"/>
          <w:szCs w:val="22"/>
        </w:rPr>
        <w:t xml:space="preserve">Il </w:t>
      </w:r>
      <w:r w:rsidR="004335A4">
        <w:rPr>
          <w:sz w:val="22"/>
          <w:szCs w:val="22"/>
        </w:rPr>
        <w:t>citato D.M. 227/2015</w:t>
      </w:r>
      <w:r w:rsidRPr="00E959DB">
        <w:rPr>
          <w:sz w:val="22"/>
          <w:szCs w:val="22"/>
        </w:rPr>
        <w:t>, nel disporre l’abrogaz</w:t>
      </w:r>
      <w:r>
        <w:rPr>
          <w:sz w:val="22"/>
          <w:szCs w:val="22"/>
        </w:rPr>
        <w:t>ione espressa del D.M. 313 del 25.05.1999, ha previsto la determinazione del compenso distinto per fasi di attività:</w:t>
      </w:r>
    </w:p>
    <w:p w:rsidR="00E959DB" w:rsidRPr="00E959DB" w:rsidRDefault="00E959DB" w:rsidP="00E959DB">
      <w:pPr>
        <w:pStyle w:val="Paragrafoelenco"/>
        <w:numPr>
          <w:ilvl w:val="0"/>
          <w:numId w:val="4"/>
        </w:numPr>
        <w:jc w:val="both"/>
        <w:rPr>
          <w:i/>
          <w:sz w:val="22"/>
          <w:szCs w:val="22"/>
        </w:rPr>
      </w:pPr>
      <w:r w:rsidRPr="00E959DB">
        <w:rPr>
          <w:i/>
          <w:sz w:val="22"/>
          <w:szCs w:val="22"/>
        </w:rPr>
        <w:t>Per tutte le attività comprese tra il conferimento dell’incarico e la redazione dell’avviso di vendita, incluso lo studio della documentazione depositata a norma dell’art. 567, secondo comma, c.p.c.;</w:t>
      </w:r>
    </w:p>
    <w:p w:rsidR="00E959DB" w:rsidRPr="00E959DB" w:rsidRDefault="00E959DB" w:rsidP="00E959DB">
      <w:pPr>
        <w:pStyle w:val="Paragrafoelenco"/>
        <w:numPr>
          <w:ilvl w:val="0"/>
          <w:numId w:val="4"/>
        </w:numPr>
        <w:jc w:val="both"/>
        <w:rPr>
          <w:i/>
          <w:sz w:val="22"/>
          <w:szCs w:val="22"/>
        </w:rPr>
      </w:pPr>
      <w:r w:rsidRPr="00E959DB">
        <w:rPr>
          <w:i/>
          <w:sz w:val="22"/>
          <w:szCs w:val="22"/>
        </w:rPr>
        <w:t>Per tutte le attività svolte successivamente alla redazione dell’avviso di vendita e fino all’aggiudicazione o all’assegnazione;</w:t>
      </w:r>
    </w:p>
    <w:p w:rsidR="00E959DB" w:rsidRPr="00E959DB" w:rsidRDefault="00E959DB" w:rsidP="00E959DB">
      <w:pPr>
        <w:pStyle w:val="Paragrafoelenco"/>
        <w:numPr>
          <w:ilvl w:val="0"/>
          <w:numId w:val="4"/>
        </w:numPr>
        <w:jc w:val="both"/>
        <w:rPr>
          <w:i/>
          <w:sz w:val="22"/>
          <w:szCs w:val="22"/>
        </w:rPr>
      </w:pPr>
      <w:r w:rsidRPr="00E959DB">
        <w:rPr>
          <w:i/>
          <w:sz w:val="22"/>
          <w:szCs w:val="22"/>
        </w:rPr>
        <w:t>Per tutte le attività svolte nel corso della fase di trasferimento della proprietà;</w:t>
      </w:r>
    </w:p>
    <w:p w:rsidR="00E959DB" w:rsidRPr="00E959DB" w:rsidRDefault="00E959DB" w:rsidP="00E959DB">
      <w:pPr>
        <w:pStyle w:val="Paragrafoelenco"/>
        <w:numPr>
          <w:ilvl w:val="0"/>
          <w:numId w:val="4"/>
        </w:numPr>
        <w:jc w:val="both"/>
        <w:rPr>
          <w:i/>
          <w:sz w:val="22"/>
          <w:szCs w:val="22"/>
        </w:rPr>
      </w:pPr>
      <w:r w:rsidRPr="00E959DB">
        <w:rPr>
          <w:i/>
          <w:sz w:val="22"/>
          <w:szCs w:val="22"/>
        </w:rPr>
        <w:t>Per tutte le attività svolte nel corso della fase di distribuzione della somma ricavata.</w:t>
      </w:r>
    </w:p>
    <w:p w:rsidR="00E959DB" w:rsidRDefault="00E959DB" w:rsidP="00E959DB">
      <w:pPr>
        <w:jc w:val="both"/>
        <w:rPr>
          <w:sz w:val="22"/>
          <w:szCs w:val="22"/>
        </w:rPr>
      </w:pPr>
    </w:p>
    <w:p w:rsidR="00AA5380" w:rsidRDefault="00AA5380" w:rsidP="00AA5380">
      <w:pPr>
        <w:jc w:val="both"/>
        <w:rPr>
          <w:sz w:val="22"/>
          <w:szCs w:val="22"/>
        </w:rPr>
      </w:pPr>
      <w:r>
        <w:rPr>
          <w:sz w:val="22"/>
          <w:szCs w:val="22"/>
        </w:rPr>
        <w:t>L’attività  relativa alla  conversione   - tenuto conto dei maggiori adempimenti  ad essa connessi  a seguito delle modifiche apportate  all’art. 495</w:t>
      </w:r>
      <w:r w:rsidR="00CA4F64">
        <w:rPr>
          <w:sz w:val="22"/>
          <w:szCs w:val="22"/>
        </w:rPr>
        <w:t xml:space="preserve"> c.p.c.</w:t>
      </w:r>
      <w:r>
        <w:rPr>
          <w:sz w:val="22"/>
          <w:szCs w:val="22"/>
        </w:rPr>
        <w:t xml:space="preserve">, che implicano l’onere per il professionista di  versare ogni sei mesi le somme presenti sul libretto al creditore  -  si reputano equiparabili alla  attività di una fase, ridotta del 50%, anche considerato che  nella maggioranza i   debitori che fanno ricorso alla conversione  hanno debiti di importo modesto, in proporzione al valore dell’immobile pignorato;  si reputa  equo un aumento ( che si quantifica nella somma forfettaria  di euro 100,00 per ogni creditore)  per il caso in cui  i creditori   siano più di uno in quanto  la possibile  sussistenza di  caratteristiche diverse del credito  impone  conteggi   di una certa complessità, cos’ come  il riparto proporzionale da attuarsi allo scadere di ogni semestre. </w:t>
      </w:r>
    </w:p>
    <w:p w:rsidR="00AA5380" w:rsidRDefault="00AA5380" w:rsidP="00AA5380">
      <w:pPr>
        <w:jc w:val="both"/>
        <w:rPr>
          <w:sz w:val="22"/>
          <w:szCs w:val="22"/>
        </w:rPr>
      </w:pPr>
    </w:p>
    <w:p w:rsidR="00AB4558" w:rsidRDefault="00CA4F64" w:rsidP="00E959DB">
      <w:pPr>
        <w:jc w:val="both"/>
        <w:rPr>
          <w:sz w:val="22"/>
          <w:szCs w:val="22"/>
        </w:rPr>
      </w:pPr>
      <w:r>
        <w:rPr>
          <w:sz w:val="22"/>
          <w:szCs w:val="22"/>
        </w:rPr>
        <w:t>T</w:t>
      </w:r>
      <w:r w:rsidR="00AB4558">
        <w:rPr>
          <w:sz w:val="22"/>
          <w:szCs w:val="22"/>
        </w:rPr>
        <w:t xml:space="preserve">enuto conto </w:t>
      </w:r>
      <w:r>
        <w:rPr>
          <w:sz w:val="22"/>
          <w:szCs w:val="22"/>
        </w:rPr>
        <w:t xml:space="preserve"> delle graduazioni già formulate  nelle procedure </w:t>
      </w:r>
      <w:r w:rsidR="00AB4558">
        <w:rPr>
          <w:sz w:val="22"/>
          <w:szCs w:val="22"/>
        </w:rPr>
        <w:t xml:space="preserve">con valore di aggiudicazione da € 0,00 ad € 100.000,00 compresi, </w:t>
      </w:r>
      <w:r>
        <w:rPr>
          <w:sz w:val="22"/>
          <w:szCs w:val="22"/>
        </w:rPr>
        <w:t xml:space="preserve">  e facendo riferimento  invece al valore del credito  per cui si procede, la tabella  di liquidazione  viene formulata come segue</w:t>
      </w:r>
      <w:r w:rsidR="00AB4558">
        <w:rPr>
          <w:sz w:val="22"/>
          <w:szCs w:val="22"/>
        </w:rPr>
        <w:t>:</w:t>
      </w:r>
    </w:p>
    <w:p w:rsidR="00CA4F64" w:rsidRDefault="00CA4F64" w:rsidP="00E959DB">
      <w:pPr>
        <w:jc w:val="both"/>
        <w:rPr>
          <w:sz w:val="22"/>
          <w:szCs w:val="22"/>
        </w:rPr>
      </w:pPr>
    </w:p>
    <w:tbl>
      <w:tblPr>
        <w:tblStyle w:val="Grigliatabella"/>
        <w:tblW w:w="0" w:type="auto"/>
        <w:tblLook w:val="04A0" w:firstRow="1" w:lastRow="0" w:firstColumn="1" w:lastColumn="0" w:noHBand="0" w:noVBand="1"/>
      </w:tblPr>
      <w:tblGrid>
        <w:gridCol w:w="5580"/>
      </w:tblGrid>
      <w:tr w:rsidR="00AB4558" w:rsidRPr="00AB4558" w:rsidTr="00AB4558">
        <w:trPr>
          <w:trHeight w:val="255"/>
        </w:trPr>
        <w:tc>
          <w:tcPr>
            <w:tcW w:w="5580" w:type="dxa"/>
            <w:noWrap/>
            <w:hideMark/>
          </w:tcPr>
          <w:p w:rsidR="00AB4558" w:rsidRPr="00AB4558" w:rsidRDefault="00CA4F64" w:rsidP="00CA4F64">
            <w:pPr>
              <w:jc w:val="both"/>
              <w:rPr>
                <w:sz w:val="22"/>
                <w:szCs w:val="22"/>
              </w:rPr>
            </w:pPr>
            <w:r>
              <w:rPr>
                <w:sz w:val="22"/>
                <w:szCs w:val="22"/>
              </w:rPr>
              <w:t xml:space="preserve">crediti </w:t>
            </w:r>
            <w:r w:rsidR="00AB4558" w:rsidRPr="00AB4558">
              <w:rPr>
                <w:sz w:val="22"/>
                <w:szCs w:val="22"/>
              </w:rPr>
              <w:t xml:space="preserve">fino ad euro 25.000 compenso </w:t>
            </w:r>
            <w:r>
              <w:rPr>
                <w:sz w:val="22"/>
                <w:szCs w:val="22"/>
              </w:rPr>
              <w:t xml:space="preserve"> di € 350,00 </w:t>
            </w:r>
          </w:p>
        </w:tc>
      </w:tr>
      <w:tr w:rsidR="00AB4558" w:rsidRPr="00AB4558" w:rsidTr="00AB4558">
        <w:trPr>
          <w:trHeight w:val="255"/>
        </w:trPr>
        <w:tc>
          <w:tcPr>
            <w:tcW w:w="5580" w:type="dxa"/>
            <w:noWrap/>
            <w:hideMark/>
          </w:tcPr>
          <w:p w:rsidR="00AB4558" w:rsidRPr="00AB4558" w:rsidRDefault="00CA4F64" w:rsidP="00CA4F64">
            <w:pPr>
              <w:jc w:val="both"/>
              <w:rPr>
                <w:sz w:val="22"/>
                <w:szCs w:val="22"/>
              </w:rPr>
            </w:pPr>
            <w:r>
              <w:rPr>
                <w:sz w:val="22"/>
                <w:szCs w:val="22"/>
              </w:rPr>
              <w:t xml:space="preserve">crediti </w:t>
            </w:r>
            <w:r w:rsidR="00AB4558" w:rsidRPr="00AB4558">
              <w:rPr>
                <w:sz w:val="22"/>
                <w:szCs w:val="22"/>
              </w:rPr>
              <w:t xml:space="preserve">fino ad euro 50.000 compenso </w:t>
            </w:r>
            <w:r>
              <w:rPr>
                <w:sz w:val="22"/>
                <w:szCs w:val="22"/>
              </w:rPr>
              <w:t xml:space="preserve"> di € 4</w:t>
            </w:r>
            <w:r w:rsidR="00AB4558" w:rsidRPr="00AB4558">
              <w:rPr>
                <w:sz w:val="22"/>
                <w:szCs w:val="22"/>
              </w:rPr>
              <w:t>00,00</w:t>
            </w:r>
          </w:p>
        </w:tc>
      </w:tr>
      <w:tr w:rsidR="00AB4558" w:rsidRPr="00AB4558" w:rsidTr="00AB4558">
        <w:trPr>
          <w:trHeight w:val="255"/>
        </w:trPr>
        <w:tc>
          <w:tcPr>
            <w:tcW w:w="5580" w:type="dxa"/>
            <w:noWrap/>
            <w:hideMark/>
          </w:tcPr>
          <w:p w:rsidR="00AB4558" w:rsidRPr="00AB4558" w:rsidRDefault="00CA4F64" w:rsidP="00CA4F64">
            <w:pPr>
              <w:jc w:val="both"/>
              <w:rPr>
                <w:sz w:val="22"/>
                <w:szCs w:val="22"/>
              </w:rPr>
            </w:pPr>
            <w:r>
              <w:rPr>
                <w:sz w:val="22"/>
                <w:szCs w:val="22"/>
              </w:rPr>
              <w:t xml:space="preserve">crediti </w:t>
            </w:r>
            <w:r w:rsidR="00AB4558" w:rsidRPr="00AB4558">
              <w:rPr>
                <w:sz w:val="22"/>
                <w:szCs w:val="22"/>
              </w:rPr>
              <w:t>fino ad euro 75</w:t>
            </w:r>
            <w:r>
              <w:rPr>
                <w:sz w:val="22"/>
                <w:szCs w:val="22"/>
              </w:rPr>
              <w:t>.000 compenso di € 45</w:t>
            </w:r>
            <w:r w:rsidR="00AB4558" w:rsidRPr="00AB4558">
              <w:rPr>
                <w:sz w:val="22"/>
                <w:szCs w:val="22"/>
              </w:rPr>
              <w:t>0,00</w:t>
            </w:r>
          </w:p>
        </w:tc>
      </w:tr>
      <w:tr w:rsidR="00AB4558" w:rsidRPr="00AB4558" w:rsidTr="00AB4558">
        <w:trPr>
          <w:trHeight w:val="255"/>
        </w:trPr>
        <w:tc>
          <w:tcPr>
            <w:tcW w:w="5580" w:type="dxa"/>
            <w:noWrap/>
            <w:hideMark/>
          </w:tcPr>
          <w:p w:rsidR="00AB4558" w:rsidRPr="00AB4558" w:rsidRDefault="00CA4F64" w:rsidP="00CA4F64">
            <w:pPr>
              <w:jc w:val="both"/>
              <w:rPr>
                <w:sz w:val="22"/>
                <w:szCs w:val="22"/>
              </w:rPr>
            </w:pPr>
            <w:r>
              <w:rPr>
                <w:sz w:val="22"/>
                <w:szCs w:val="22"/>
              </w:rPr>
              <w:t xml:space="preserve">crediti  da </w:t>
            </w:r>
            <w:r w:rsidR="00AB4558" w:rsidRPr="00AB4558">
              <w:rPr>
                <w:sz w:val="22"/>
                <w:szCs w:val="22"/>
              </w:rPr>
              <w:t>euro 100.000</w:t>
            </w:r>
            <w:r>
              <w:rPr>
                <w:sz w:val="22"/>
                <w:szCs w:val="22"/>
              </w:rPr>
              <w:t xml:space="preserve"> ed oltre </w:t>
            </w:r>
            <w:r w:rsidR="00AB4558" w:rsidRPr="00AB4558">
              <w:rPr>
                <w:sz w:val="22"/>
                <w:szCs w:val="22"/>
              </w:rPr>
              <w:t xml:space="preserve"> </w:t>
            </w:r>
            <w:r>
              <w:rPr>
                <w:sz w:val="22"/>
                <w:szCs w:val="22"/>
              </w:rPr>
              <w:t>compenso  di € 5</w:t>
            </w:r>
            <w:r w:rsidR="00AB4558" w:rsidRPr="00AB4558">
              <w:rPr>
                <w:sz w:val="22"/>
                <w:szCs w:val="22"/>
              </w:rPr>
              <w:t>00,00</w:t>
            </w:r>
          </w:p>
        </w:tc>
      </w:tr>
    </w:tbl>
    <w:p w:rsidR="005A0C0C" w:rsidRDefault="005A0C0C">
      <w:pPr>
        <w:rPr>
          <w:b/>
        </w:rPr>
      </w:pPr>
    </w:p>
    <w:p w:rsidR="000C0510" w:rsidRDefault="005A0C0C">
      <w:pPr>
        <w:rPr>
          <w:b/>
        </w:rPr>
      </w:pPr>
      <w:r>
        <w:rPr>
          <w:b/>
        </w:rPr>
        <w:t xml:space="preserve">Oltre il suddetto aumento di euro 100,00  ogni credito ulteriore ove vi siano più creditori. </w:t>
      </w:r>
    </w:p>
    <w:p w:rsidR="005A0C0C" w:rsidRDefault="005A0C0C">
      <w:pPr>
        <w:rPr>
          <w:b/>
        </w:rPr>
      </w:pPr>
    </w:p>
    <w:p w:rsidR="005A0C0C" w:rsidRDefault="005A0C0C">
      <w:pPr>
        <w:rPr>
          <w:b/>
        </w:rPr>
      </w:pPr>
    </w:p>
    <w:p w:rsidR="005A0C0C" w:rsidRDefault="005A0C0C">
      <w:pPr>
        <w:rPr>
          <w:b/>
        </w:rPr>
      </w:pPr>
    </w:p>
    <w:p w:rsidR="005A0C0C" w:rsidRDefault="005A0C0C">
      <w:pPr>
        <w:rPr>
          <w:b/>
        </w:rPr>
      </w:pPr>
    </w:p>
    <w:p w:rsidR="005A0C0C" w:rsidRDefault="005A0C0C">
      <w:pPr>
        <w:rPr>
          <w:b/>
        </w:rPr>
      </w:pPr>
    </w:p>
    <w:p w:rsidR="005A0C0C" w:rsidRDefault="005A0C0C">
      <w:pPr>
        <w:rPr>
          <w:b/>
        </w:rPr>
      </w:pPr>
      <w:r>
        <w:rPr>
          <w:b/>
        </w:rPr>
        <w:t xml:space="preserve">Si coglie  l’occasione inoltre, a chiarimento  della circolare   precedente,  con riguardo ai compensi  per il caso di vendita,  per precisare che   dovranno essere  depositate: </w:t>
      </w:r>
    </w:p>
    <w:p w:rsidR="005A0C0C" w:rsidRDefault="005A0C0C" w:rsidP="005A0C0C">
      <w:pPr>
        <w:pStyle w:val="Paragrafoelenco"/>
        <w:numPr>
          <w:ilvl w:val="0"/>
          <w:numId w:val="5"/>
        </w:numPr>
        <w:rPr>
          <w:b/>
        </w:rPr>
      </w:pPr>
      <w:r>
        <w:rPr>
          <w:b/>
        </w:rPr>
        <w:t xml:space="preserve">una prima richiesta di liquidazione  per la fase n° 3, autonoma,  al momento della redazione del decreto di trasferimento; </w:t>
      </w:r>
    </w:p>
    <w:p w:rsidR="005A0C0C" w:rsidRPr="005A0C0C" w:rsidRDefault="005A0C0C" w:rsidP="005A0C0C">
      <w:pPr>
        <w:pStyle w:val="Paragrafoelenco"/>
        <w:numPr>
          <w:ilvl w:val="0"/>
          <w:numId w:val="5"/>
        </w:numPr>
        <w:rPr>
          <w:b/>
        </w:rPr>
      </w:pPr>
      <w:r>
        <w:rPr>
          <w:b/>
        </w:rPr>
        <w:t>una seconda richiesta  ( per i compensi delle fasi</w:t>
      </w:r>
      <w:r w:rsidR="00F90A50">
        <w:rPr>
          <w:b/>
        </w:rPr>
        <w:t xml:space="preserve"> </w:t>
      </w:r>
      <w:bookmarkStart w:id="0" w:name="_GoBack"/>
      <w:bookmarkEnd w:id="0"/>
      <w:r>
        <w:rPr>
          <w:b/>
        </w:rPr>
        <w:t xml:space="preserve"> 1, 2, e 4 )  che potrà essere </w:t>
      </w:r>
      <w:r w:rsidRPr="00F90A50">
        <w:rPr>
          <w:b/>
          <w:u w:val="single"/>
        </w:rPr>
        <w:t>contenuta anche nell’atto  che accompagna il deposito del piano di riparto</w:t>
      </w:r>
      <w:r>
        <w:rPr>
          <w:b/>
        </w:rPr>
        <w:t xml:space="preserve">, cui andrà allegato </w:t>
      </w:r>
      <w:r w:rsidR="00F90A50">
        <w:rPr>
          <w:b/>
        </w:rPr>
        <w:t xml:space="preserve">comunque il prospetto per permettere  la verifica dei conteggi da parte del G.E. </w:t>
      </w:r>
    </w:p>
    <w:p w:rsidR="00F90A50" w:rsidRDefault="00F90A50">
      <w:pPr>
        <w:rPr>
          <w:sz w:val="24"/>
          <w:szCs w:val="24"/>
        </w:rPr>
      </w:pPr>
    </w:p>
    <w:p w:rsidR="00F90A50" w:rsidRDefault="00F90A50">
      <w:pPr>
        <w:rPr>
          <w:sz w:val="24"/>
          <w:szCs w:val="24"/>
        </w:rPr>
      </w:pPr>
    </w:p>
    <w:p w:rsidR="0041620E" w:rsidRPr="00523E08" w:rsidRDefault="00523E08">
      <w:pPr>
        <w:rPr>
          <w:sz w:val="24"/>
          <w:szCs w:val="24"/>
        </w:rPr>
      </w:pPr>
      <w:r>
        <w:rPr>
          <w:sz w:val="24"/>
          <w:szCs w:val="24"/>
        </w:rPr>
        <w:t>SAVONA, l</w:t>
      </w:r>
      <w:r w:rsidR="009E076B" w:rsidRPr="00523E08">
        <w:rPr>
          <w:sz w:val="24"/>
          <w:szCs w:val="24"/>
        </w:rPr>
        <w:t xml:space="preserve">ì </w:t>
      </w:r>
      <w:r w:rsidR="00AA5380">
        <w:rPr>
          <w:sz w:val="24"/>
          <w:szCs w:val="24"/>
        </w:rPr>
        <w:t xml:space="preserve"> </w:t>
      </w:r>
      <w:r w:rsidR="00F90A50">
        <w:rPr>
          <w:sz w:val="24"/>
          <w:szCs w:val="24"/>
        </w:rPr>
        <w:t>7</w:t>
      </w:r>
      <w:r w:rsidR="00AA5380">
        <w:rPr>
          <w:sz w:val="24"/>
          <w:szCs w:val="24"/>
        </w:rPr>
        <w:t xml:space="preserve"> </w:t>
      </w:r>
      <w:r w:rsidR="005D0AF0">
        <w:rPr>
          <w:sz w:val="24"/>
          <w:szCs w:val="24"/>
        </w:rPr>
        <w:t>giugno 2016</w:t>
      </w:r>
    </w:p>
    <w:p w:rsidR="00523E08" w:rsidRDefault="00523E08">
      <w:pPr>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16D4A" w:rsidTr="00116D4A">
        <w:tc>
          <w:tcPr>
            <w:tcW w:w="4889" w:type="dxa"/>
          </w:tcPr>
          <w:p w:rsidR="00F90A50" w:rsidRDefault="00F90A50" w:rsidP="00116D4A">
            <w:pPr>
              <w:spacing w:line="480" w:lineRule="auto"/>
              <w:jc w:val="center"/>
              <w:rPr>
                <w:sz w:val="24"/>
                <w:szCs w:val="24"/>
                <w:u w:val="single"/>
              </w:rPr>
            </w:pPr>
          </w:p>
          <w:p w:rsidR="00116D4A" w:rsidRPr="00116D4A" w:rsidRDefault="00116D4A" w:rsidP="00116D4A">
            <w:pPr>
              <w:spacing w:line="480" w:lineRule="auto"/>
              <w:jc w:val="center"/>
              <w:rPr>
                <w:sz w:val="24"/>
                <w:szCs w:val="24"/>
                <w:u w:val="single"/>
              </w:rPr>
            </w:pPr>
            <w:r w:rsidRPr="00116D4A">
              <w:rPr>
                <w:sz w:val="24"/>
                <w:szCs w:val="24"/>
                <w:u w:val="single"/>
              </w:rPr>
              <w:t>IL PRESIDENTE SEZIONE CIVILE</w:t>
            </w:r>
          </w:p>
        </w:tc>
        <w:tc>
          <w:tcPr>
            <w:tcW w:w="4889" w:type="dxa"/>
          </w:tcPr>
          <w:p w:rsidR="00F90A50" w:rsidRDefault="00F90A50" w:rsidP="00116D4A">
            <w:pPr>
              <w:pStyle w:val="riquadro1"/>
              <w:spacing w:line="240" w:lineRule="atLeast"/>
              <w:jc w:val="center"/>
              <w:rPr>
                <w:sz w:val="24"/>
                <w:szCs w:val="24"/>
                <w:u w:val="single"/>
                <w:lang w:val="it-IT"/>
              </w:rPr>
            </w:pPr>
          </w:p>
          <w:p w:rsidR="00116D4A" w:rsidRPr="005D0AF0" w:rsidRDefault="00116D4A" w:rsidP="00116D4A">
            <w:pPr>
              <w:pStyle w:val="riquadro1"/>
              <w:spacing w:line="240" w:lineRule="atLeast"/>
              <w:jc w:val="center"/>
              <w:rPr>
                <w:sz w:val="24"/>
                <w:szCs w:val="24"/>
                <w:u w:val="single"/>
                <w:lang w:val="it-IT"/>
              </w:rPr>
            </w:pPr>
            <w:r w:rsidRPr="00116D4A">
              <w:rPr>
                <w:sz w:val="24"/>
                <w:szCs w:val="24"/>
                <w:u w:val="single"/>
                <w:lang w:val="it-IT"/>
              </w:rPr>
              <w:t>IL COORDINATORE SETTORE ESECUZIONI IMMOBILIARI</w:t>
            </w:r>
          </w:p>
        </w:tc>
      </w:tr>
      <w:tr w:rsidR="00116D4A" w:rsidTr="00116D4A">
        <w:trPr>
          <w:trHeight w:val="907"/>
        </w:trPr>
        <w:tc>
          <w:tcPr>
            <w:tcW w:w="4889" w:type="dxa"/>
            <w:vAlign w:val="bottom"/>
          </w:tcPr>
          <w:p w:rsidR="00116D4A" w:rsidRDefault="00116D4A" w:rsidP="00116D4A">
            <w:pPr>
              <w:spacing w:line="480" w:lineRule="auto"/>
              <w:jc w:val="center"/>
              <w:rPr>
                <w:sz w:val="24"/>
                <w:szCs w:val="24"/>
              </w:rPr>
            </w:pPr>
            <w:r>
              <w:rPr>
                <w:sz w:val="24"/>
                <w:szCs w:val="24"/>
              </w:rPr>
              <w:t>d</w:t>
            </w:r>
            <w:r w:rsidRPr="00523E08">
              <w:rPr>
                <w:sz w:val="24"/>
                <w:szCs w:val="24"/>
              </w:rPr>
              <w:t>ott.ssa Lorena Canaparo</w:t>
            </w:r>
          </w:p>
        </w:tc>
        <w:tc>
          <w:tcPr>
            <w:tcW w:w="4889" w:type="dxa"/>
            <w:vAlign w:val="bottom"/>
          </w:tcPr>
          <w:p w:rsidR="00116D4A" w:rsidRDefault="00116D4A" w:rsidP="00116D4A">
            <w:pPr>
              <w:spacing w:line="480" w:lineRule="auto"/>
              <w:jc w:val="center"/>
              <w:rPr>
                <w:sz w:val="24"/>
                <w:szCs w:val="24"/>
              </w:rPr>
            </w:pPr>
            <w:r w:rsidRPr="00523E08">
              <w:rPr>
                <w:sz w:val="24"/>
                <w:szCs w:val="24"/>
              </w:rPr>
              <w:t>dott.ssa Cristina Tabacchi</w:t>
            </w:r>
          </w:p>
        </w:tc>
      </w:tr>
    </w:tbl>
    <w:p w:rsidR="00116D4A" w:rsidRPr="00523E08" w:rsidRDefault="00116D4A">
      <w:pPr>
        <w:rPr>
          <w:sz w:val="24"/>
          <w:szCs w:val="24"/>
        </w:rPr>
      </w:pPr>
    </w:p>
    <w:p w:rsidR="00523E08" w:rsidRPr="00523E08" w:rsidRDefault="00523E08" w:rsidP="00523E08">
      <w:pPr>
        <w:pStyle w:val="riquadro1"/>
        <w:spacing w:line="240" w:lineRule="atLeast"/>
        <w:jc w:val="right"/>
        <w:rPr>
          <w:sz w:val="24"/>
          <w:szCs w:val="24"/>
          <w:lang w:val="it-IT"/>
        </w:rPr>
      </w:pPr>
    </w:p>
    <w:p w:rsidR="0041620E" w:rsidRPr="00523E08" w:rsidRDefault="00523E08" w:rsidP="00523E08">
      <w:pPr>
        <w:rPr>
          <w:sz w:val="24"/>
          <w:szCs w:val="24"/>
        </w:rPr>
      </w:pPr>
      <w:r w:rsidRPr="00523E08">
        <w:rPr>
          <w:sz w:val="24"/>
          <w:szCs w:val="24"/>
        </w:rPr>
        <w:t xml:space="preserve">                  </w:t>
      </w:r>
    </w:p>
    <w:sectPr w:rsidR="0041620E" w:rsidRPr="00523E08" w:rsidSect="0041620E">
      <w:footerReference w:type="even" r:id="rId10"/>
      <w:footerReference w:type="default" r:id="rId11"/>
      <w:pgSz w:w="11906" w:h="16838"/>
      <w:pgMar w:top="127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1E" w:rsidRDefault="00A1291E">
      <w:r>
        <w:separator/>
      </w:r>
    </w:p>
  </w:endnote>
  <w:endnote w:type="continuationSeparator" w:id="0">
    <w:p w:rsidR="00A1291E" w:rsidRDefault="00A1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B5" w:rsidRDefault="00FE59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E59B5" w:rsidRDefault="00FE59B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B5" w:rsidRDefault="00FE59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0A50">
      <w:rPr>
        <w:rStyle w:val="Numeropagina"/>
        <w:noProof/>
      </w:rPr>
      <w:t>1</w:t>
    </w:r>
    <w:r>
      <w:rPr>
        <w:rStyle w:val="Numeropagina"/>
      </w:rPr>
      <w:fldChar w:fldCharType="end"/>
    </w:r>
  </w:p>
  <w:p w:rsidR="00FE59B5" w:rsidRDefault="00FE59B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1E" w:rsidRDefault="00A1291E">
      <w:r>
        <w:separator/>
      </w:r>
    </w:p>
  </w:footnote>
  <w:footnote w:type="continuationSeparator" w:id="0">
    <w:p w:rsidR="00A1291E" w:rsidRDefault="00A12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FC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5CD11485"/>
    <w:multiLevelType w:val="hybridMultilevel"/>
    <w:tmpl w:val="E7F2BD90"/>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
    <w:nsid w:val="64BC4E3D"/>
    <w:multiLevelType w:val="hybridMultilevel"/>
    <w:tmpl w:val="C1846130"/>
    <w:lvl w:ilvl="0" w:tplc="AD8661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414375"/>
    <w:multiLevelType w:val="hybridMultilevel"/>
    <w:tmpl w:val="108E9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750BE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6C"/>
    <w:rsid w:val="000C0510"/>
    <w:rsid w:val="00116D4A"/>
    <w:rsid w:val="001A1C7E"/>
    <w:rsid w:val="00387B94"/>
    <w:rsid w:val="0041620E"/>
    <w:rsid w:val="004335A4"/>
    <w:rsid w:val="00502587"/>
    <w:rsid w:val="00523E08"/>
    <w:rsid w:val="005A0C0C"/>
    <w:rsid w:val="005D0AF0"/>
    <w:rsid w:val="0064266C"/>
    <w:rsid w:val="007F2156"/>
    <w:rsid w:val="008805B5"/>
    <w:rsid w:val="008B7B88"/>
    <w:rsid w:val="009E076B"/>
    <w:rsid w:val="00A1291E"/>
    <w:rsid w:val="00A20939"/>
    <w:rsid w:val="00AA5380"/>
    <w:rsid w:val="00AB4558"/>
    <w:rsid w:val="00AC1832"/>
    <w:rsid w:val="00B21C64"/>
    <w:rsid w:val="00B458B1"/>
    <w:rsid w:val="00CA4F64"/>
    <w:rsid w:val="00DB6D57"/>
    <w:rsid w:val="00E67D8F"/>
    <w:rsid w:val="00E959DB"/>
    <w:rsid w:val="00EB7C6A"/>
    <w:rsid w:val="00F36D52"/>
    <w:rsid w:val="00F90A50"/>
    <w:rsid w:val="00FE5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20E"/>
  </w:style>
  <w:style w:type="paragraph" w:styleId="Titolo1">
    <w:name w:val="heading 1"/>
    <w:basedOn w:val="Normale"/>
    <w:next w:val="Normale"/>
    <w:qFormat/>
    <w:rsid w:val="0041620E"/>
    <w:pPr>
      <w:keepNext/>
      <w:jc w:val="center"/>
      <w:outlineLvl w:val="0"/>
    </w:pPr>
    <w:rPr>
      <w:sz w:val="24"/>
    </w:rPr>
  </w:style>
  <w:style w:type="paragraph" w:styleId="Titolo2">
    <w:name w:val="heading 2"/>
    <w:basedOn w:val="Normale"/>
    <w:next w:val="Normale"/>
    <w:qFormat/>
    <w:rsid w:val="0041620E"/>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1620E"/>
    <w:pPr>
      <w:tabs>
        <w:tab w:val="center" w:pos="4819"/>
        <w:tab w:val="right" w:pos="9638"/>
      </w:tabs>
    </w:pPr>
  </w:style>
  <w:style w:type="paragraph" w:styleId="Pidipagina">
    <w:name w:val="footer"/>
    <w:basedOn w:val="Normale"/>
    <w:semiHidden/>
    <w:rsid w:val="0041620E"/>
    <w:pPr>
      <w:tabs>
        <w:tab w:val="center" w:pos="4819"/>
        <w:tab w:val="right" w:pos="9638"/>
      </w:tabs>
    </w:pPr>
  </w:style>
  <w:style w:type="paragraph" w:styleId="Rientrocorpodeltesto">
    <w:name w:val="Body Text Indent"/>
    <w:basedOn w:val="Normale"/>
    <w:semiHidden/>
    <w:rsid w:val="0041620E"/>
    <w:pPr>
      <w:ind w:left="709" w:hanging="425"/>
      <w:jc w:val="both"/>
    </w:pPr>
  </w:style>
  <w:style w:type="paragraph" w:styleId="Corpotesto">
    <w:name w:val="Body Text"/>
    <w:basedOn w:val="Normale"/>
    <w:semiHidden/>
    <w:rsid w:val="0041620E"/>
    <w:pPr>
      <w:jc w:val="center"/>
    </w:pPr>
  </w:style>
  <w:style w:type="paragraph" w:customStyle="1" w:styleId="Testonormale1">
    <w:name w:val="Testo normale1"/>
    <w:basedOn w:val="Normale"/>
    <w:rsid w:val="0041620E"/>
    <w:pPr>
      <w:widowControl w:val="0"/>
      <w:jc w:val="both"/>
    </w:pPr>
    <w:rPr>
      <w:rFonts w:ascii="Courier New" w:hAnsi="Courier New"/>
    </w:rPr>
  </w:style>
  <w:style w:type="paragraph" w:styleId="Corpodeltesto2">
    <w:name w:val="Body Text 2"/>
    <w:basedOn w:val="Normale"/>
    <w:semiHidden/>
    <w:rsid w:val="0041620E"/>
    <w:pPr>
      <w:ind w:right="-4820"/>
      <w:jc w:val="both"/>
    </w:pPr>
    <w:rPr>
      <w:sz w:val="22"/>
    </w:rPr>
  </w:style>
  <w:style w:type="paragraph" w:customStyle="1" w:styleId="mysent">
    <w:name w:val="mysent"/>
    <w:basedOn w:val="Normale"/>
    <w:rsid w:val="0041620E"/>
    <w:pPr>
      <w:tabs>
        <w:tab w:val="left" w:pos="576"/>
        <w:tab w:val="left" w:pos="1296"/>
        <w:tab w:val="left" w:pos="2016"/>
        <w:tab w:val="left" w:pos="2736"/>
        <w:tab w:val="left" w:pos="3456"/>
        <w:tab w:val="left" w:pos="4176"/>
        <w:tab w:val="left" w:pos="4896"/>
        <w:tab w:val="left" w:pos="5616"/>
        <w:tab w:val="left" w:pos="6336"/>
      </w:tabs>
      <w:overflowPunct w:val="0"/>
      <w:autoSpaceDE w:val="0"/>
      <w:autoSpaceDN w:val="0"/>
      <w:adjustRightInd w:val="0"/>
      <w:ind w:firstLine="284"/>
      <w:textAlignment w:val="baseline"/>
    </w:pPr>
    <w:rPr>
      <w:sz w:val="24"/>
    </w:rPr>
  </w:style>
  <w:style w:type="character" w:styleId="Numeropagina">
    <w:name w:val="page number"/>
    <w:basedOn w:val="Carpredefinitoparagrafo"/>
    <w:semiHidden/>
    <w:rsid w:val="0041620E"/>
  </w:style>
  <w:style w:type="paragraph" w:customStyle="1" w:styleId="riquadro1">
    <w:name w:val="riquadro_1"/>
    <w:uiPriority w:val="99"/>
    <w:rsid w:val="00523E08"/>
    <w:pPr>
      <w:widowControl w:val="0"/>
      <w:autoSpaceDE w:val="0"/>
      <w:autoSpaceDN w:val="0"/>
      <w:adjustRightInd w:val="0"/>
      <w:jc w:val="both"/>
    </w:pPr>
    <w:rPr>
      <w:lang w:val="en-US"/>
    </w:rPr>
  </w:style>
  <w:style w:type="paragraph" w:styleId="Paragrafoelenco">
    <w:name w:val="List Paragraph"/>
    <w:basedOn w:val="Normale"/>
    <w:uiPriority w:val="34"/>
    <w:qFormat/>
    <w:rsid w:val="00E959DB"/>
    <w:pPr>
      <w:ind w:left="720"/>
      <w:contextualSpacing/>
    </w:pPr>
  </w:style>
  <w:style w:type="table" w:styleId="Grigliatabella">
    <w:name w:val="Table Grid"/>
    <w:basedOn w:val="Tabellanormale"/>
    <w:uiPriority w:val="59"/>
    <w:rsid w:val="00AB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20E"/>
  </w:style>
  <w:style w:type="paragraph" w:styleId="Titolo1">
    <w:name w:val="heading 1"/>
    <w:basedOn w:val="Normale"/>
    <w:next w:val="Normale"/>
    <w:qFormat/>
    <w:rsid w:val="0041620E"/>
    <w:pPr>
      <w:keepNext/>
      <w:jc w:val="center"/>
      <w:outlineLvl w:val="0"/>
    </w:pPr>
    <w:rPr>
      <w:sz w:val="24"/>
    </w:rPr>
  </w:style>
  <w:style w:type="paragraph" w:styleId="Titolo2">
    <w:name w:val="heading 2"/>
    <w:basedOn w:val="Normale"/>
    <w:next w:val="Normale"/>
    <w:qFormat/>
    <w:rsid w:val="0041620E"/>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1620E"/>
    <w:pPr>
      <w:tabs>
        <w:tab w:val="center" w:pos="4819"/>
        <w:tab w:val="right" w:pos="9638"/>
      </w:tabs>
    </w:pPr>
  </w:style>
  <w:style w:type="paragraph" w:styleId="Pidipagina">
    <w:name w:val="footer"/>
    <w:basedOn w:val="Normale"/>
    <w:semiHidden/>
    <w:rsid w:val="0041620E"/>
    <w:pPr>
      <w:tabs>
        <w:tab w:val="center" w:pos="4819"/>
        <w:tab w:val="right" w:pos="9638"/>
      </w:tabs>
    </w:pPr>
  </w:style>
  <w:style w:type="paragraph" w:styleId="Rientrocorpodeltesto">
    <w:name w:val="Body Text Indent"/>
    <w:basedOn w:val="Normale"/>
    <w:semiHidden/>
    <w:rsid w:val="0041620E"/>
    <w:pPr>
      <w:ind w:left="709" w:hanging="425"/>
      <w:jc w:val="both"/>
    </w:pPr>
  </w:style>
  <w:style w:type="paragraph" w:styleId="Corpotesto">
    <w:name w:val="Body Text"/>
    <w:basedOn w:val="Normale"/>
    <w:semiHidden/>
    <w:rsid w:val="0041620E"/>
    <w:pPr>
      <w:jc w:val="center"/>
    </w:pPr>
  </w:style>
  <w:style w:type="paragraph" w:customStyle="1" w:styleId="Testonormale1">
    <w:name w:val="Testo normale1"/>
    <w:basedOn w:val="Normale"/>
    <w:rsid w:val="0041620E"/>
    <w:pPr>
      <w:widowControl w:val="0"/>
      <w:jc w:val="both"/>
    </w:pPr>
    <w:rPr>
      <w:rFonts w:ascii="Courier New" w:hAnsi="Courier New"/>
    </w:rPr>
  </w:style>
  <w:style w:type="paragraph" w:styleId="Corpodeltesto2">
    <w:name w:val="Body Text 2"/>
    <w:basedOn w:val="Normale"/>
    <w:semiHidden/>
    <w:rsid w:val="0041620E"/>
    <w:pPr>
      <w:ind w:right="-4820"/>
      <w:jc w:val="both"/>
    </w:pPr>
    <w:rPr>
      <w:sz w:val="22"/>
    </w:rPr>
  </w:style>
  <w:style w:type="paragraph" w:customStyle="1" w:styleId="mysent">
    <w:name w:val="mysent"/>
    <w:basedOn w:val="Normale"/>
    <w:rsid w:val="0041620E"/>
    <w:pPr>
      <w:tabs>
        <w:tab w:val="left" w:pos="576"/>
        <w:tab w:val="left" w:pos="1296"/>
        <w:tab w:val="left" w:pos="2016"/>
        <w:tab w:val="left" w:pos="2736"/>
        <w:tab w:val="left" w:pos="3456"/>
        <w:tab w:val="left" w:pos="4176"/>
        <w:tab w:val="left" w:pos="4896"/>
        <w:tab w:val="left" w:pos="5616"/>
        <w:tab w:val="left" w:pos="6336"/>
      </w:tabs>
      <w:overflowPunct w:val="0"/>
      <w:autoSpaceDE w:val="0"/>
      <w:autoSpaceDN w:val="0"/>
      <w:adjustRightInd w:val="0"/>
      <w:ind w:firstLine="284"/>
      <w:textAlignment w:val="baseline"/>
    </w:pPr>
    <w:rPr>
      <w:sz w:val="24"/>
    </w:rPr>
  </w:style>
  <w:style w:type="character" w:styleId="Numeropagina">
    <w:name w:val="page number"/>
    <w:basedOn w:val="Carpredefinitoparagrafo"/>
    <w:semiHidden/>
    <w:rsid w:val="0041620E"/>
  </w:style>
  <w:style w:type="paragraph" w:customStyle="1" w:styleId="riquadro1">
    <w:name w:val="riquadro_1"/>
    <w:uiPriority w:val="99"/>
    <w:rsid w:val="00523E08"/>
    <w:pPr>
      <w:widowControl w:val="0"/>
      <w:autoSpaceDE w:val="0"/>
      <w:autoSpaceDN w:val="0"/>
      <w:adjustRightInd w:val="0"/>
      <w:jc w:val="both"/>
    </w:pPr>
    <w:rPr>
      <w:lang w:val="en-US"/>
    </w:rPr>
  </w:style>
  <w:style w:type="paragraph" w:styleId="Paragrafoelenco">
    <w:name w:val="List Paragraph"/>
    <w:basedOn w:val="Normale"/>
    <w:uiPriority w:val="34"/>
    <w:qFormat/>
    <w:rsid w:val="00E959DB"/>
    <w:pPr>
      <w:ind w:left="720"/>
      <w:contextualSpacing/>
    </w:pPr>
  </w:style>
  <w:style w:type="table" w:styleId="Grigliatabella">
    <w:name w:val="Table Grid"/>
    <w:basedOn w:val="Tabellanormale"/>
    <w:uiPriority w:val="59"/>
    <w:rsid w:val="00AB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9678">
      <w:bodyDiv w:val="1"/>
      <w:marLeft w:val="0"/>
      <w:marRight w:val="0"/>
      <w:marTop w:val="0"/>
      <w:marBottom w:val="0"/>
      <w:divBdr>
        <w:top w:val="none" w:sz="0" w:space="0" w:color="auto"/>
        <w:left w:val="none" w:sz="0" w:space="0" w:color="auto"/>
        <w:bottom w:val="none" w:sz="0" w:space="0" w:color="auto"/>
        <w:right w:val="none" w:sz="0" w:space="0" w:color="auto"/>
      </w:divBdr>
    </w:div>
    <w:div w:id="16315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586</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Tribunale di Monza</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dr.Claudio Miele</dc:creator>
  <cp:lastModifiedBy>Cristina Tabacchi</cp:lastModifiedBy>
  <cp:revision>3</cp:revision>
  <cp:lastPrinted>2016-06-20T16:35:00Z</cp:lastPrinted>
  <dcterms:created xsi:type="dcterms:W3CDTF">2016-07-07T09:22:00Z</dcterms:created>
  <dcterms:modified xsi:type="dcterms:W3CDTF">2016-07-07T09:59:00Z</dcterms:modified>
</cp:coreProperties>
</file>